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9D" w:rsidRDefault="00C45E9D" w:rsidP="00C45E9D">
      <w:pPr>
        <w:rPr>
          <w:sz w:val="28"/>
          <w:szCs w:val="28"/>
        </w:rPr>
      </w:pPr>
    </w:p>
    <w:p w:rsidR="00C45E9D" w:rsidRDefault="00C45E9D" w:rsidP="00C45E9D">
      <w:pPr>
        <w:jc w:val="center"/>
        <w:rPr>
          <w:sz w:val="28"/>
          <w:szCs w:val="28"/>
        </w:rPr>
      </w:pPr>
    </w:p>
    <w:p w:rsidR="00C45E9D" w:rsidRDefault="00C45E9D" w:rsidP="00C45E9D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15645" cy="9461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9D" w:rsidRDefault="00C45E9D" w:rsidP="00C45E9D">
      <w:pPr>
        <w:jc w:val="center"/>
        <w:rPr>
          <w:sz w:val="28"/>
          <w:szCs w:val="28"/>
        </w:rPr>
      </w:pPr>
    </w:p>
    <w:p w:rsidR="00C45E9D" w:rsidRDefault="00C45E9D" w:rsidP="00C45E9D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Администрация     Ветлужского   муниципального  округа</w:t>
      </w:r>
    </w:p>
    <w:p w:rsidR="00C45E9D" w:rsidRDefault="00C45E9D" w:rsidP="00C45E9D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  области</w:t>
      </w:r>
    </w:p>
    <w:p w:rsidR="00C45E9D" w:rsidRDefault="00C45E9D" w:rsidP="00C45E9D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C45E9D" w:rsidRDefault="00C45E9D" w:rsidP="00C45E9D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C45E9D" w:rsidRDefault="00C45E9D" w:rsidP="00C45E9D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>
        <w:rPr>
          <w:b/>
          <w:sz w:val="36"/>
          <w:szCs w:val="36"/>
          <w:lang w:eastAsia="ar-SA"/>
        </w:rPr>
        <w:t>П</w:t>
      </w:r>
      <w:proofErr w:type="gramEnd"/>
      <w:r>
        <w:rPr>
          <w:b/>
          <w:sz w:val="36"/>
          <w:szCs w:val="36"/>
          <w:lang w:eastAsia="ar-SA"/>
        </w:rPr>
        <w:t xml:space="preserve"> О С Т А Н О В Л Е Н И Е</w:t>
      </w:r>
    </w:p>
    <w:p w:rsidR="00C45E9D" w:rsidRDefault="00C45E9D" w:rsidP="00C45E9D">
      <w:pPr>
        <w:suppressAutoHyphens/>
        <w:jc w:val="center"/>
        <w:rPr>
          <w:b/>
          <w:sz w:val="32"/>
          <w:szCs w:val="32"/>
          <w:lang w:eastAsia="ar-SA"/>
        </w:rPr>
      </w:pPr>
    </w:p>
    <w:p w:rsidR="00C45E9D" w:rsidRDefault="00DC0CC6" w:rsidP="00C45E9D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 марта 2026г.                         </w:t>
      </w:r>
      <w:r w:rsidR="00C45E9D">
        <w:rPr>
          <w:sz w:val="28"/>
          <w:szCs w:val="28"/>
          <w:lang w:eastAsia="ar-SA"/>
        </w:rPr>
        <w:t xml:space="preserve">         г. Вет</w:t>
      </w:r>
      <w:r>
        <w:rPr>
          <w:sz w:val="28"/>
          <w:szCs w:val="28"/>
          <w:lang w:eastAsia="ar-SA"/>
        </w:rPr>
        <w:t xml:space="preserve">луга                          </w:t>
      </w:r>
      <w:r w:rsidR="00C45E9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C45E9D"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lang w:eastAsia="ar-SA"/>
        </w:rPr>
        <w:t>162</w:t>
      </w:r>
    </w:p>
    <w:p w:rsidR="00C45E9D" w:rsidRDefault="00C45E9D" w:rsidP="00C45E9D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45E9D" w:rsidRDefault="00C45E9D" w:rsidP="00C45E9D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45E9D" w:rsidRDefault="00C45E9D" w:rsidP="00C45E9D">
      <w:pPr>
        <w:pStyle w:val="a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</w:t>
      </w:r>
      <w:r>
        <w:rPr>
          <w:b/>
          <w:color w:val="000000"/>
          <w:sz w:val="28"/>
          <w:szCs w:val="28"/>
        </w:rPr>
        <w:t>конкурсной комиссии 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</w:t>
      </w:r>
    </w:p>
    <w:p w:rsidR="00C45E9D" w:rsidRDefault="00C45E9D" w:rsidP="00C45E9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выбора управляющей организации для управления многоквартирными домами, в которых собственники помещений не приняли на общем собрании собственников помещений в многоквартирном доме решение о выборе способа управления или не реализовали его, в целях организации управления многоквартирными домами,  администрация Ветлужского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C45E9D" w:rsidRDefault="00C45E9D" w:rsidP="00C45E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конкурсную комиссию </w:t>
      </w:r>
      <w:r>
        <w:rPr>
          <w:color w:val="000000"/>
          <w:sz w:val="28"/>
          <w:szCs w:val="28"/>
        </w:rPr>
        <w:t>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области.</w:t>
      </w:r>
    </w:p>
    <w:p w:rsidR="00C45E9D" w:rsidRDefault="00C45E9D" w:rsidP="00C45E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 Утвердить прилагаемый состав конкурсной комиссии </w:t>
      </w:r>
      <w:r>
        <w:rPr>
          <w:color w:val="000000"/>
          <w:sz w:val="28"/>
          <w:szCs w:val="28"/>
        </w:rPr>
        <w:t>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области.</w:t>
      </w:r>
    </w:p>
    <w:p w:rsidR="00C45E9D" w:rsidRDefault="00C45E9D" w:rsidP="00C45E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 Утвердить прилагаемый Порядок работы конкурсной комиссии по проведению открытого конкурса по отбору управляющей организации для </w:t>
      </w:r>
      <w:r>
        <w:rPr>
          <w:sz w:val="28"/>
          <w:szCs w:val="28"/>
        </w:rPr>
        <w:lastRenderedPageBreak/>
        <w:t xml:space="preserve">управления многоквартирными домами на территории </w:t>
      </w:r>
      <w:r>
        <w:rPr>
          <w:color w:val="000000"/>
          <w:sz w:val="28"/>
          <w:szCs w:val="28"/>
        </w:rPr>
        <w:t>Ветлужского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C45E9D" w:rsidRDefault="00C45E9D" w:rsidP="00C45E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:rsidR="00C45E9D" w:rsidRDefault="00C45E9D" w:rsidP="00C45E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 дня вступления в силу настоящего постановления признать утратившим силу постановление администрации Ветлужского муниципального округа Нижегородской области от 09.10.2023 года № 756 «О создании конкурсной комиссии 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области».</w:t>
      </w:r>
    </w:p>
    <w:p w:rsidR="00C45E9D" w:rsidRDefault="00C45E9D" w:rsidP="00C45E9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Обнародовать настоящее постановление путем размещения в общедоступных местах 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C45E9D" w:rsidRDefault="00C45E9D" w:rsidP="00C45E9D">
      <w:pPr>
        <w:pStyle w:val="a8"/>
        <w:tabs>
          <w:tab w:val="left" w:pos="855"/>
          <w:tab w:val="left" w:pos="2415"/>
        </w:tabs>
        <w:ind w:left="0" w:right="0" w:firstLine="709"/>
        <w:rPr>
          <w:rFonts w:ascii="Times New Roman" w:hAnsi="Times New Roman" w:cs="Times New Roman"/>
          <w:color w:val="000000"/>
          <w:szCs w:val="28"/>
        </w:rPr>
      </w:pPr>
    </w:p>
    <w:p w:rsidR="00C45E9D" w:rsidRDefault="00C45E9D" w:rsidP="00C45E9D">
      <w:pPr>
        <w:pStyle w:val="a8"/>
        <w:tabs>
          <w:tab w:val="left" w:pos="855"/>
          <w:tab w:val="left" w:pos="2415"/>
        </w:tabs>
        <w:ind w:left="0" w:right="0" w:firstLine="709"/>
        <w:rPr>
          <w:rFonts w:ascii="Times New Roman" w:hAnsi="Times New Roman" w:cs="Times New Roman"/>
          <w:color w:val="000000"/>
          <w:szCs w:val="28"/>
        </w:rPr>
      </w:pPr>
    </w:p>
    <w:p w:rsidR="00C45E9D" w:rsidRDefault="00B66F71" w:rsidP="00C45E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</w:t>
      </w:r>
      <w:r w:rsidR="00734795">
        <w:rPr>
          <w:color w:val="000000"/>
          <w:sz w:val="28"/>
          <w:szCs w:val="28"/>
        </w:rPr>
        <w:tab/>
      </w:r>
      <w:r w:rsidR="00734795">
        <w:rPr>
          <w:color w:val="000000"/>
          <w:sz w:val="28"/>
          <w:szCs w:val="28"/>
        </w:rPr>
        <w:tab/>
      </w:r>
      <w:r w:rsidR="00C45E9D">
        <w:rPr>
          <w:color w:val="000000"/>
          <w:sz w:val="28"/>
          <w:szCs w:val="28"/>
        </w:rPr>
        <w:tab/>
      </w:r>
      <w:r w:rsidR="00C45E9D">
        <w:rPr>
          <w:color w:val="000000"/>
          <w:sz w:val="28"/>
          <w:szCs w:val="28"/>
        </w:rPr>
        <w:tab/>
      </w:r>
      <w:r w:rsidR="00E51AA3">
        <w:rPr>
          <w:color w:val="000000"/>
          <w:sz w:val="28"/>
          <w:szCs w:val="28"/>
        </w:rPr>
        <w:t xml:space="preserve"> </w:t>
      </w:r>
      <w:r w:rsidR="0011107C">
        <w:rPr>
          <w:color w:val="000000"/>
          <w:sz w:val="28"/>
          <w:szCs w:val="28"/>
        </w:rPr>
        <w:t xml:space="preserve">              </w:t>
      </w:r>
      <w:r w:rsidR="00E51AA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  <w:t>С.Ю. Филиппов</w:t>
      </w: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b/>
        </w:rPr>
      </w:pPr>
      <w:r>
        <w:rPr>
          <w:b/>
        </w:rPr>
        <w:t xml:space="preserve">         </w:t>
      </w: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45E9D" w:rsidRDefault="00C45E9D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522DA" w:rsidRDefault="004522DA" w:rsidP="00FA6C27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FA6C27" w:rsidRDefault="00FA6C27" w:rsidP="00FA6C27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>
        <w:rPr>
          <w:color w:val="000000"/>
        </w:rPr>
        <w:lastRenderedPageBreak/>
        <w:t xml:space="preserve">УТВЕРЖДЕН </w:t>
      </w: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>
        <w:rPr>
          <w:color w:val="000000"/>
        </w:rPr>
        <w:t>постановлением администрации Ветлужского муниципального округа Нижегородской области</w:t>
      </w: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>
        <w:rPr>
          <w:color w:val="000000"/>
        </w:rPr>
        <w:t xml:space="preserve">   </w:t>
      </w:r>
      <w:r w:rsidR="00E51AA3">
        <w:rPr>
          <w:color w:val="000000"/>
        </w:rPr>
        <w:t xml:space="preserve">        </w:t>
      </w:r>
      <w:r w:rsidR="00FA6C27">
        <w:rPr>
          <w:color w:val="000000"/>
        </w:rPr>
        <w:t xml:space="preserve">      </w:t>
      </w:r>
      <w:r w:rsidR="00E51AA3">
        <w:rPr>
          <w:color w:val="000000"/>
        </w:rPr>
        <w:t xml:space="preserve">    </w:t>
      </w:r>
      <w:r>
        <w:rPr>
          <w:color w:val="000000"/>
        </w:rPr>
        <w:t xml:space="preserve">   От </w:t>
      </w:r>
      <w:r w:rsidR="00FA6C27">
        <w:rPr>
          <w:color w:val="000000"/>
        </w:rPr>
        <w:t>10.03.2026г.</w:t>
      </w:r>
      <w:r>
        <w:rPr>
          <w:color w:val="000000"/>
        </w:rPr>
        <w:t xml:space="preserve">  г. №  </w:t>
      </w:r>
      <w:r w:rsidR="00FA6C27">
        <w:rPr>
          <w:color w:val="000000"/>
        </w:rPr>
        <w:t>162</w:t>
      </w:r>
      <w:r>
        <w:rPr>
          <w:color w:val="000000"/>
        </w:rPr>
        <w:t xml:space="preserve">     </w:t>
      </w:r>
    </w:p>
    <w:p w:rsidR="00C45E9D" w:rsidRDefault="00C45E9D" w:rsidP="00C45E9D">
      <w:pPr>
        <w:tabs>
          <w:tab w:val="left" w:pos="5490"/>
        </w:tabs>
        <w:ind w:left="6096"/>
        <w:rPr>
          <w:color w:val="000000"/>
          <w:sz w:val="28"/>
          <w:szCs w:val="28"/>
        </w:rPr>
      </w:pPr>
    </w:p>
    <w:p w:rsidR="00C45E9D" w:rsidRDefault="00C45E9D" w:rsidP="00C45E9D">
      <w:pPr>
        <w:tabs>
          <w:tab w:val="left" w:pos="5490"/>
        </w:tabs>
        <w:ind w:left="5954"/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Состав  конкурсной комиссии 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</w:t>
      </w:r>
    </w:p>
    <w:p w:rsidR="00C45E9D" w:rsidRDefault="00C45E9D" w:rsidP="00C45E9D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6"/>
        <w:gridCol w:w="284"/>
        <w:gridCol w:w="5815"/>
      </w:tblGrid>
      <w:tr w:rsidR="00C45E9D" w:rsidTr="00C45E9D">
        <w:tc>
          <w:tcPr>
            <w:tcW w:w="3544" w:type="dxa"/>
          </w:tcPr>
          <w:p w:rsidR="00C45E9D" w:rsidRDefault="00C45E9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C45E9D" w:rsidRDefault="00C45E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C45E9D" w:rsidRDefault="00C45E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C45E9D" w:rsidRDefault="00C45E9D" w:rsidP="00C45E9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C45E9D" w:rsidRDefault="00C45E9D" w:rsidP="00C45E9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tbl>
      <w:tblPr>
        <w:tblW w:w="9921" w:type="dxa"/>
        <w:tblLook w:val="01E0" w:firstRow="1" w:lastRow="1" w:firstColumn="1" w:lastColumn="1" w:noHBand="0" w:noVBand="0"/>
      </w:tblPr>
      <w:tblGrid>
        <w:gridCol w:w="2376"/>
        <w:gridCol w:w="426"/>
        <w:gridCol w:w="7119"/>
      </w:tblGrid>
      <w:tr w:rsidR="00C45E9D" w:rsidTr="00C45E9D">
        <w:tc>
          <w:tcPr>
            <w:tcW w:w="237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Филиппов С.Ю.</w:t>
            </w:r>
          </w:p>
        </w:tc>
        <w:tc>
          <w:tcPr>
            <w:tcW w:w="42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Заместитель главы администрации по социальной сфере, информационной политике и работе с территориями - председатель комиссии;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C45E9D" w:rsidTr="00C45E9D">
        <w:trPr>
          <w:trHeight w:val="1861"/>
        </w:trPr>
        <w:tc>
          <w:tcPr>
            <w:tcW w:w="2376" w:type="dxa"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Смирнова Е.А.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Сироткина Е.С.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  </w:t>
            </w:r>
          </w:p>
        </w:tc>
        <w:tc>
          <w:tcPr>
            <w:tcW w:w="426" w:type="dxa"/>
          </w:tcPr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Заместитель </w:t>
            </w:r>
            <w:proofErr w:type="gramStart"/>
            <w:r>
              <w:rPr>
                <w:szCs w:val="28"/>
                <w:lang w:eastAsia="ar-SA"/>
              </w:rPr>
              <w:t>заведующего отдела</w:t>
            </w:r>
            <w:proofErr w:type="gramEnd"/>
            <w:r>
              <w:rPr>
                <w:szCs w:val="28"/>
                <w:lang w:eastAsia="ar-SA"/>
              </w:rPr>
              <w:t xml:space="preserve"> капитального строительства, архитектуры и ЖКХ администрации Ветлужского муниципального округа – заместитель председателя комиссии;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отдела капитального строительства, архитектуры и ЖКХ администрации Ветлужского муниципального округа – секретарь комиссии.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C45E9D" w:rsidTr="00C45E9D">
        <w:tc>
          <w:tcPr>
            <w:tcW w:w="2802" w:type="dxa"/>
            <w:gridSpan w:val="2"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Члены комиссии: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C45E9D" w:rsidTr="00C45E9D">
        <w:tc>
          <w:tcPr>
            <w:tcW w:w="237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Суворова О.Н. </w:t>
            </w:r>
          </w:p>
        </w:tc>
        <w:tc>
          <w:tcPr>
            <w:tcW w:w="42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отдела капитального строительства, архитектуры и ЖКХ администрации Ветлужского муниципального округа.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C45E9D" w:rsidTr="00C45E9D">
        <w:tc>
          <w:tcPr>
            <w:tcW w:w="237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Серебрякова О.В. </w:t>
            </w:r>
          </w:p>
        </w:tc>
        <w:tc>
          <w:tcPr>
            <w:tcW w:w="426" w:type="dxa"/>
            <w:hideMark/>
          </w:tcPr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proofErr w:type="gramStart"/>
            <w:r>
              <w:rPr>
                <w:szCs w:val="28"/>
                <w:lang w:eastAsia="ar-SA"/>
              </w:rPr>
              <w:t>Заведующий отдела</w:t>
            </w:r>
            <w:proofErr w:type="gramEnd"/>
            <w:r>
              <w:rPr>
                <w:szCs w:val="28"/>
                <w:lang w:eastAsia="ar-SA"/>
              </w:rPr>
              <w:t xml:space="preserve"> правовой работы администрации Ветлужского муниципального округа;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C45E9D" w:rsidTr="00C45E9D">
        <w:tc>
          <w:tcPr>
            <w:tcW w:w="2376" w:type="dxa"/>
          </w:tcPr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Смирнов А.А.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Белова Ю.Б.</w:t>
            </w:r>
          </w:p>
          <w:p w:rsidR="00C45E9D" w:rsidRDefault="00C45E9D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  <w:tc>
          <w:tcPr>
            <w:tcW w:w="7119" w:type="dxa"/>
          </w:tcPr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управления территории г. Ветлуги администрации Ветлужского муниципального округа Нижегородской области                  (по согласованию);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отдела капитального строительства, архитектуры и ЖКХ администрации Ветлужского муниципального округа.</w:t>
            </w:r>
          </w:p>
          <w:p w:rsidR="00C45E9D" w:rsidRDefault="00C45E9D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</w:tbl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</w:rPr>
      </w:pPr>
    </w:p>
    <w:p w:rsidR="00E51AA3" w:rsidRDefault="00E51AA3" w:rsidP="00E51AA3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FA6C27" w:rsidRDefault="00FA6C27" w:rsidP="00FA6C27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>
        <w:rPr>
          <w:color w:val="000000"/>
        </w:rPr>
        <w:lastRenderedPageBreak/>
        <w:t xml:space="preserve">УТВЕРЖДЕН </w:t>
      </w:r>
    </w:p>
    <w:p w:rsidR="00FA6C27" w:rsidRDefault="00FA6C27" w:rsidP="00FA6C27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>
        <w:rPr>
          <w:color w:val="000000"/>
        </w:rPr>
        <w:t>постановлением администрации Ветлужского муниципального округа Нижегородской области</w:t>
      </w:r>
    </w:p>
    <w:p w:rsidR="00C45E9D" w:rsidRDefault="00FA6C27" w:rsidP="00FA6C27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>
        <w:rPr>
          <w:color w:val="000000"/>
        </w:rPr>
        <w:t xml:space="preserve">                        От 10.03.2026г.  г. №  162</w:t>
      </w:r>
      <w:bookmarkStart w:id="0" w:name="_GoBack"/>
      <w:bookmarkEnd w:id="0"/>
      <w:r w:rsidR="00C45E9D">
        <w:rPr>
          <w:color w:val="000000"/>
        </w:rPr>
        <w:t xml:space="preserve">            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ПОРЯДОК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работы  конкурсной комиссии по проведению  открытого конкурса по отбору управляющей организации для управления многоквартирными домами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1. Общие положения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1.1. Настоящая конкурсная комиссия по проведению открытого конкурса по отбору управляющей организации для управления многоквартирным домом на территории Ветлужского муниципального округа Нижегородской области (далее - Конкурсная комиссия).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proofErr w:type="gramStart"/>
      <w:r>
        <w:rPr>
          <w:color w:val="000000"/>
          <w:szCs w:val="28"/>
        </w:rPr>
        <w:t>1.2.Конкурсная комиссия в своей деятельности руководствуется Гражданским кодексом Российской Федерации, статьями 161, 163,  Жилищного кодекса Российской Федерации, постановлением Правительства Российской Федерации от 06.02.2006  № 75 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федеральными законами, нормативными правовыми актами Правительства Российской Федерации и настоящим Порядком.</w:t>
      </w:r>
      <w:proofErr w:type="gramEnd"/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1.3. Руководство работой Конкурсной комиссии осуществляет председатель конкурсной 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1.4. 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Порядок формирования и состав Конкурсной комиссии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2.1. Состав Конкурсной комиссии утверждается постановлением администрации Ветлужского муниципального округа Нижегородской области.</w:t>
      </w:r>
      <w:r>
        <w:rPr>
          <w:color w:val="000000"/>
          <w:szCs w:val="28"/>
        </w:rPr>
        <w:br/>
        <w:t xml:space="preserve">       2.2. Конкурсная комиссия формируется в количестве не менее 5 человек, в том числе должностные лица уполномоченного органа на отбор управляющих организаций для управления многоквартирным домом и структурных подразделений администрации Ветлужского муниципального округа.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2.3. </w:t>
      </w:r>
      <w:proofErr w:type="gramStart"/>
      <w:r>
        <w:rPr>
          <w:color w:val="000000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>
        <w:rPr>
          <w:color w:val="000000"/>
          <w:szCs w:val="2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</w:t>
      </w:r>
      <w:r>
        <w:t xml:space="preserve"> </w:t>
      </w:r>
      <w:r>
        <w:rPr>
          <w:color w:val="000000"/>
          <w:szCs w:val="28"/>
        </w:rPr>
        <w:t>случае выявления таких лиц уполномоченный орган обязан незамедлительно исключить их из состава Конкурсной комиссии и назначить иных лиц в соответствии с настоящим Порядком.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 Цели и задачи Конкурсной комиссии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3.1. Конкурсная комиссия создается в целях подведения итогов и определения победителя конкурса на право заключения договора управления многоквартирным домом либо на право заключения договоров управления несколькими многоквартирными домами.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3.2. Задачами</w:t>
      </w:r>
      <w:r>
        <w:rPr>
          <w:color w:val="000000"/>
          <w:szCs w:val="28"/>
        </w:rPr>
        <w:tab/>
        <w:t xml:space="preserve"> Конкурсной</w:t>
      </w:r>
      <w:r>
        <w:rPr>
          <w:color w:val="000000"/>
          <w:szCs w:val="28"/>
        </w:rPr>
        <w:tab/>
        <w:t xml:space="preserve"> комиссии</w:t>
      </w:r>
      <w:r>
        <w:rPr>
          <w:color w:val="000000"/>
          <w:szCs w:val="28"/>
        </w:rPr>
        <w:tab/>
        <w:t xml:space="preserve"> являются:</w:t>
      </w:r>
      <w:r>
        <w:rPr>
          <w:color w:val="000000"/>
          <w:szCs w:val="28"/>
        </w:rPr>
        <w:br/>
        <w:t>-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добросовестная конкуренция;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доступность информации о проведении конкурса и обеспечение открытости его проведения.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4. Основные функции Конкурсной комиссии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4.1.Основными функциями Конкурсной комиссии являются: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проверка правильности оформления документов, представленных претендентами;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осуществление процедуры вскрытия конвертов с заявками на участие в конкурсе;</w:t>
      </w:r>
      <w:r>
        <w:rPr>
          <w:color w:val="000000"/>
          <w:szCs w:val="28"/>
        </w:rPr>
        <w:br/>
        <w:t>- оценка заявок на участие в конкурсе на соответствие требованиям, установленным конкурсной документацией;</w:t>
      </w:r>
      <w:r>
        <w:rPr>
          <w:color w:val="000000"/>
          <w:szCs w:val="28"/>
        </w:rPr>
        <w:br/>
        <w:t>- оценка заявок на участие в конкурсе на соответствие претендентов установленным требованиям;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принятие решений о признании претендента участником конкурса или об отказе в допуске претендента</w:t>
      </w:r>
      <w:r>
        <w:rPr>
          <w:color w:val="000000"/>
          <w:szCs w:val="28"/>
        </w:rPr>
        <w:tab/>
        <w:t xml:space="preserve"> к участию </w:t>
      </w:r>
      <w:r>
        <w:rPr>
          <w:color w:val="000000"/>
          <w:szCs w:val="28"/>
        </w:rPr>
        <w:tab/>
        <w:t>в конкурсе;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ведение протокола вскрытия конвертов с заявками на участие в конкурсе, протокола рассмотрения заявок на</w:t>
      </w:r>
      <w:r>
        <w:rPr>
          <w:color w:val="000000"/>
          <w:szCs w:val="28"/>
        </w:rPr>
        <w:tab/>
        <w:t xml:space="preserve"> участие в конкурсе;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ведение протокола конкурса по отбору управляющей организации для управления многоквартирным  домом;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определение победителей конкурса.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5. Права и обязанности Конкурсной комиссии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5.1. Конкурсная комиссия рассматривает заявки на участие в конкурсе, оформляет протокол вскрытия конвертов с заявками на участие в конкурсе, протокол рассмотрения заявок на участие в конкурсе, проводит конкурс и оформляет протокол конкурса.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5.2. Член Конкурсной комиссии обязан являться на заседания Конкурсной комиссии. В случае невозможности явиться на заседание Конкурсной комиссии член Конкурсной комиссии обязан уведомить председателя Конкурсной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5.3. Конкурсная комиссия осуществляет проверку претендентов на участие в открытом конкурсе на соответствие установленным требованиям. При этом Конкурсная комиссия не вправе возлагать на претендента обязанность подтверждать соответствие данным требованиям.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5.4. В случае установление фактов несоответствия участника конкурса установленным требованиям к претендентам Конкурсная комиссия отстраняет участника конкурса от участия в конкурсе на любом этапе его проведения.      </w:t>
      </w:r>
    </w:p>
    <w:p w:rsidR="00C45E9D" w:rsidRDefault="00C45E9D" w:rsidP="00C45E9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5.5.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разъяснения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5.6. Конкурсная комиссия перед вскрытием конвертов с заявками на участие в конкурсе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5.7. Конкурсная комиссия  принимает решение о признании претендента участником конкурса или об отказе в допуске претендента к участию в конкурсе.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5.8. Переговоры с претендентами до проведения конкурса и (или)  во время проведения конкурса, кроме случаев обмена информацией, прямо предусмотренных законодательством Российской Федерации и конкурсной документацией конкурсной комиссией не проводятся.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6. Полномочия членов комиссии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6.1. Члены комиссии обладают равными правами при рассмотрении вопросов, связанных с осуществлением возложенных на комиссию функций.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Члены комиссии вправе: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участвовать в подготовке заседаний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предварительно, до заседания комиссии, знакомиться с вопросами, выносимыми на рассмотрение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участвовать в заседании комиссии с правом решающего голоса;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участвовать в обсуждении рассматриваемых комиссией вопросов и вносить по ним предложения;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участвовать в голосовании при принятии решений по рассматриваемым комиссией вопросам;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осуществлять иные полномочия, предусмотренные федеральным законодательством, законодательством Нижегородской  области и нормативными правовыми актами администрации Ветлужского муниципального округа Нижегородской области.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6.2. Председатель комиссии пользуется полномочиями члена комиссии, а также: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руководство деятельностью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председательствует на заседаниях комиссии и организует ее работу;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планирует деятельность работы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утверждает повестку каждого заседания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назначает заседания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подписывает протоколы заседания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представляет интересы комиссии в органах местного самоуправления, организациях, перед должностными лицами и гражданами;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иные полномочия, предусмотренные федеральным законодательством, законодательством Нижегородской  области и нормативными правовыми актами администрации Ветлужского муниципального округа Нижегородской области.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6.3. Заместитель председателя комиссии пользуется полномочиями члена комиссии, а также: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организует предварительную подготовку вопросов, подлежащих рассмотрению на заседании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выполняет поручения председателя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исполняет обязанности председателя комиссии в его отсутствие или при невозможности выполнения им обязанностей;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иные полномочия, предусмотренные федеральным законодательством, законодательством Нижегородской  области и нормативными правовыми актами</w:t>
      </w:r>
      <w:r>
        <w:t xml:space="preserve"> </w:t>
      </w:r>
      <w:r>
        <w:rPr>
          <w:color w:val="000000"/>
          <w:szCs w:val="28"/>
        </w:rPr>
        <w:t>администрации Ветлужского муниципального округа Нижегородской области.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6.4. Секретарь комиссии пользуется полномочиями члена комиссии, а также: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подготовку вопросов, подлежащих рассмотрению на заседании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выполняет поручения председателя комиссии, его заместителя;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техническое обслуживание работы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оповещение членов комиссии и лиц, участвующих в заседании комиссии, о времени, месте и дате проведения заседания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подготовку и оформление протоколов заседаний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ведет делопроизводство комиссии;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- осуществляет иные полномочия, предусмотренные федеральным законодательством и нормативными правовыми актами Нижегородской области.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C45E9D" w:rsidRDefault="00C45E9D" w:rsidP="00C45E9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7. Порядок работы Конкурсной комиссии</w:t>
      </w:r>
    </w:p>
    <w:p w:rsidR="00C45E9D" w:rsidRDefault="00C45E9D" w:rsidP="00C45E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7.1. Формой работы комиссии является заседание.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7.2. Руководство работой комиссии осуществляет председатель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7.3. Секретарь комиссии по поручению председателя или заместителя председателя комиссии не менее чем за 3 дня оповещает ее членов о времени и месте проведения заседания, вопросах, </w:t>
      </w:r>
      <w:r>
        <w:rPr>
          <w:color w:val="000000"/>
          <w:szCs w:val="28"/>
        </w:rPr>
        <w:lastRenderedPageBreak/>
        <w:t>выносимых на рассмотрение комиссии.</w:t>
      </w:r>
    </w:p>
    <w:p w:rsidR="00C45E9D" w:rsidRDefault="00C45E9D" w:rsidP="00C45E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7.4. Заседания комиссии проводятся по мере необходимости. В случае невозможности присутствия на заседании член комиссии заблаговременно сообщает об этом секретарю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7.5. Заседание комиссии считается правомочным, если на нем присутствует более 50 процентов общего числа ее членов.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7.6.  Каждый член конкурсной комиссии имеет один голос.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7.7. Заседание комиссии ведет председатель комиссии или по его поручению - заместитель председателя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7.8.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 Член комиссии, не согласный с решением большинства членов комиссии, вправе выразить свое собственное мнение, которое прилагается в качестве перечня рассматриваемых вопросов на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7.9.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7.10. Решения комиссии по рассматриваемым вопросам принимаются открытым голосованием.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7.11. По требованию заявителя ему предоставляется выписка из протокола заседания, подписанная секретарем комиссии.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7.12. На заседаниях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многоквартирном доме (общежитие), действующих на территории Ветлужского муниципального округа, а также представители общественных объединений потребителей (их ассоциаций, союзов), действующих на территории Ветлужского муниципального округа. Полномочия указанных представителей подтверждаются документально.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7.13.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C45E9D" w:rsidRDefault="00C45E9D" w:rsidP="00C45E9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7.14. Решения комиссии могут быть обжалованы в установленном законодательством Российской Федерации порядке.</w:t>
      </w:r>
    </w:p>
    <w:p w:rsidR="00C45E9D" w:rsidRDefault="00C45E9D" w:rsidP="00C45E9D">
      <w:pPr>
        <w:rPr>
          <w:sz w:val="28"/>
          <w:szCs w:val="28"/>
        </w:rPr>
      </w:pPr>
    </w:p>
    <w:p w:rsidR="004C70B9" w:rsidRDefault="004C70B9"/>
    <w:sectPr w:rsidR="004C70B9" w:rsidSect="00E51A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F7"/>
    <w:rsid w:val="0011107C"/>
    <w:rsid w:val="004522DA"/>
    <w:rsid w:val="004C70B9"/>
    <w:rsid w:val="00734795"/>
    <w:rsid w:val="008E4E40"/>
    <w:rsid w:val="00A15C82"/>
    <w:rsid w:val="00B66F71"/>
    <w:rsid w:val="00BC1A8B"/>
    <w:rsid w:val="00C45E9D"/>
    <w:rsid w:val="00CB3F5B"/>
    <w:rsid w:val="00CC5DE3"/>
    <w:rsid w:val="00DC0CC6"/>
    <w:rsid w:val="00E15FF7"/>
    <w:rsid w:val="00E51AA3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C45E9D"/>
    <w:pPr>
      <w:spacing w:before="100" w:beforeAutospacing="1" w:after="100" w:afterAutospacing="1"/>
    </w:pPr>
  </w:style>
  <w:style w:type="paragraph" w:styleId="a8">
    <w:name w:val="Block Text"/>
    <w:basedOn w:val="a"/>
    <w:uiPriority w:val="99"/>
    <w:semiHidden/>
    <w:unhideWhenUsed/>
    <w:rsid w:val="00C45E9D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5E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C45E9D"/>
    <w:pPr>
      <w:spacing w:before="100" w:beforeAutospacing="1" w:after="100" w:afterAutospacing="1"/>
    </w:pPr>
  </w:style>
  <w:style w:type="paragraph" w:styleId="a8">
    <w:name w:val="Block Text"/>
    <w:basedOn w:val="a"/>
    <w:uiPriority w:val="99"/>
    <w:semiHidden/>
    <w:unhideWhenUsed/>
    <w:rsid w:val="00C45E9D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5E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Shutova</dc:creator>
  <cp:keywords/>
  <dc:description/>
  <cp:lastModifiedBy>Shutova</cp:lastModifiedBy>
  <cp:revision>11</cp:revision>
  <cp:lastPrinted>2026-03-10T06:25:00Z</cp:lastPrinted>
  <dcterms:created xsi:type="dcterms:W3CDTF">2026-02-19T08:34:00Z</dcterms:created>
  <dcterms:modified xsi:type="dcterms:W3CDTF">2026-03-11T06:32:00Z</dcterms:modified>
</cp:coreProperties>
</file>